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11" w:rsidRDefault="00C646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176" w:type="dxa"/>
        <w:jc w:val="center"/>
        <w:tblLayout w:type="fixed"/>
        <w:tblLook w:val="0000" w:firstRow="0" w:lastRow="0" w:firstColumn="0" w:lastColumn="0" w:noHBand="0" w:noVBand="0"/>
      </w:tblPr>
      <w:tblGrid>
        <w:gridCol w:w="4357"/>
        <w:gridCol w:w="5819"/>
      </w:tblGrid>
      <w:tr w:rsidR="00C64611" w:rsidTr="00947F5D">
        <w:trPr>
          <w:cantSplit/>
          <w:trHeight w:val="1722"/>
          <w:jc w:val="center"/>
        </w:trPr>
        <w:tc>
          <w:tcPr>
            <w:tcW w:w="4357" w:type="dxa"/>
          </w:tcPr>
          <w:p w:rsidR="00C64611" w:rsidRDefault="00947F5D">
            <w:pPr>
              <w:spacing w:line="276" w:lineRule="auto"/>
              <w:jc w:val="center"/>
            </w:pPr>
            <w:r>
              <w:rPr>
                <w:color w:val="000000"/>
              </w:rPr>
              <w:t>ỦY BAN NHÂN DÂN</w:t>
            </w:r>
          </w:p>
          <w:p w:rsidR="00C64611" w:rsidRDefault="00947F5D">
            <w:pPr>
              <w:spacing w:line="276" w:lineRule="auto"/>
              <w:jc w:val="center"/>
            </w:pPr>
            <w:r>
              <w:t>THÀNH PHỐ THỦ ĐỨC</w:t>
            </w:r>
          </w:p>
          <w:p w:rsidR="00C64611" w:rsidRDefault="00947F5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</w:rPr>
              <w:t>PHÒNG GIÁO DỤC VÀ ĐÀO TẠO</w:t>
            </w:r>
          </w:p>
          <w:p w:rsidR="00C64611" w:rsidRDefault="00947F5D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5AAC8A5E" wp14:editId="284525C5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13334</wp:posOffset>
                      </wp:positionV>
                      <wp:extent cx="1225685" cy="1270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5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13334</wp:posOffset>
                      </wp:positionV>
                      <wp:extent cx="1225685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568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C64611" w:rsidRDefault="00947F5D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Số :          /GDĐT</w:t>
            </w:r>
          </w:p>
          <w:p w:rsidR="00C64611" w:rsidRDefault="00947F5D">
            <w:pPr>
              <w:jc w:val="center"/>
            </w:pPr>
            <w:r>
              <w:t xml:space="preserve">V/v tham gia hiến máu tình nguyện </w:t>
            </w:r>
          </w:p>
          <w:p w:rsidR="00C64611" w:rsidRDefault="00947F5D">
            <w:pPr>
              <w:jc w:val="center"/>
            </w:pPr>
            <w:r>
              <w:t>của ngành Giáo dục thành phố Thủ Đức</w:t>
            </w:r>
          </w:p>
        </w:tc>
        <w:tc>
          <w:tcPr>
            <w:tcW w:w="5819" w:type="dxa"/>
          </w:tcPr>
          <w:p w:rsidR="00C64611" w:rsidRDefault="00947F5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CỘNG HÒA XÃ HỘI CHỦ NGHĨA VIỆT NAM</w:t>
            </w:r>
          </w:p>
          <w:p w:rsidR="00C64611" w:rsidRDefault="00947F5D">
            <w:pPr>
              <w:spacing w:line="276" w:lineRule="auto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28"/>
                <w:szCs w:val="28"/>
              </w:rPr>
              <w:t>Độc lập - Tự do - Hạnh phúc</w:t>
            </w:r>
          </w:p>
          <w:p w:rsidR="00C64611" w:rsidRDefault="00947F5D">
            <w:pPr>
              <w:spacing w:line="276" w:lineRule="auto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FC6C670" wp14:editId="07B7A8A8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62230</wp:posOffset>
                      </wp:positionV>
                      <wp:extent cx="2019300" cy="1270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62230</wp:posOffset>
                      </wp:positionV>
                      <wp:extent cx="2019300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19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C64611" w:rsidRDefault="00C64611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  <w:p w:rsidR="00C64611" w:rsidRDefault="00947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i/>
                <w:color w:val="000000"/>
                <w:sz w:val="27"/>
                <w:szCs w:val="27"/>
              </w:rPr>
              <w:t>Thành phố Thủ Đức, ngày      tháng 12 năm 2022</w:t>
            </w:r>
          </w:p>
          <w:p w:rsidR="00C64611" w:rsidRDefault="00C64611">
            <w:pPr>
              <w:spacing w:line="276" w:lineRule="auto"/>
              <w:jc w:val="center"/>
            </w:pPr>
          </w:p>
        </w:tc>
      </w:tr>
    </w:tbl>
    <w:p w:rsidR="00C64611" w:rsidRDefault="00C64611">
      <w:pPr>
        <w:spacing w:before="120" w:after="120" w:line="276" w:lineRule="auto"/>
      </w:pPr>
    </w:p>
    <w:p w:rsidR="00C64611" w:rsidRDefault="00947F5D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Kính gửi:  </w:t>
      </w:r>
      <w:r>
        <w:rPr>
          <w:sz w:val="28"/>
          <w:szCs w:val="28"/>
        </w:rPr>
        <w:tab/>
      </w:r>
    </w:p>
    <w:p w:rsidR="00C64611" w:rsidRDefault="00947F5D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>- Hiệu trưởng các trường MN, TH, THCS;</w:t>
      </w:r>
    </w:p>
    <w:p w:rsidR="00C64611" w:rsidRDefault="00947F5D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Thủ trưởng các đơn vị trực thuộc.</w:t>
      </w:r>
    </w:p>
    <w:p w:rsidR="00C64611" w:rsidRDefault="00C64611">
      <w:pPr>
        <w:spacing w:before="120"/>
        <w:jc w:val="both"/>
        <w:rPr>
          <w:sz w:val="12"/>
          <w:szCs w:val="12"/>
        </w:rPr>
      </w:pPr>
    </w:p>
    <w:p w:rsidR="00C64611" w:rsidRDefault="00947F5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 Kế hoạch số 253/KH- BCĐ ngày 01 tháng 6 năm 2022 của Ban chỉ đạo vận động hiến máu tình nguyện thành phố Thủ Đức về Kế hoạch thực hiện Chiến dịch “Những giọt máu hồng” Hè năm 2022;</w:t>
      </w:r>
    </w:p>
    <w:p w:rsidR="00C64611" w:rsidRDefault="00947F5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 vào công văn số 2024</w:t>
      </w:r>
      <w:r>
        <w:rPr>
          <w:color w:val="000000"/>
          <w:sz w:val="28"/>
          <w:szCs w:val="28"/>
        </w:rPr>
        <w:t xml:space="preserve">/GDĐT ngày 05 tháng 12 năm 2022 </w:t>
      </w:r>
      <w:r>
        <w:rPr>
          <w:sz w:val="28"/>
          <w:szCs w:val="28"/>
        </w:rPr>
        <w:t>của Phòng</w:t>
      </w:r>
      <w:r>
        <w:rPr>
          <w:sz w:val="28"/>
          <w:szCs w:val="28"/>
        </w:rPr>
        <w:t xml:space="preserve"> Giáo dục và Đào tạo thành phố Thủ Đức về việc vận động tham gia hiến máu tình nguyện của ngành Giáo dục thành phố Thủ Đức.</w:t>
      </w:r>
    </w:p>
    <w:p w:rsidR="00C64611" w:rsidRDefault="00947F5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Phòng Giáo dục và Đào tạo đề nghị Thủ trưởng các cơ sở giáo dục triển khai việc tham gia hiến máu tình nguyện một số nội dung cụ thể</w:t>
      </w:r>
      <w:r>
        <w:rPr>
          <w:sz w:val="28"/>
          <w:szCs w:val="28"/>
        </w:rPr>
        <w:t xml:space="preserve"> như sau:</w:t>
      </w:r>
    </w:p>
    <w:p w:rsidR="00C64611" w:rsidRDefault="00947F5D">
      <w:pPr>
        <w:spacing w:line="360" w:lineRule="auto"/>
        <w:ind w:firstLine="720"/>
        <w:jc w:val="both"/>
        <w:rPr>
          <w:sz w:val="28"/>
          <w:szCs w:val="28"/>
        </w:rPr>
      </w:pPr>
      <w:r w:rsidRPr="00947F5D">
        <w:rPr>
          <w:sz w:val="28"/>
          <w:szCs w:val="28"/>
        </w:rPr>
        <w:t>1.</w:t>
      </w:r>
      <w:r>
        <w:rPr>
          <w:sz w:val="28"/>
          <w:szCs w:val="28"/>
        </w:rPr>
        <w:t xml:space="preserve"> Thời gian: </w:t>
      </w:r>
      <w:r>
        <w:rPr>
          <w:b/>
          <w:sz w:val="28"/>
          <w:szCs w:val="28"/>
        </w:rPr>
        <w:t>Từ 07 giờ 15 phút đến 09 giờ 30 phút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ngày 23/12/2022</w:t>
      </w:r>
      <w:r>
        <w:rPr>
          <w:sz w:val="28"/>
          <w:szCs w:val="28"/>
        </w:rPr>
        <w:t xml:space="preserve"> (sáng Thứ Sáu)</w:t>
      </w:r>
    </w:p>
    <w:p w:rsidR="00C64611" w:rsidRDefault="00947F5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Địa điểm: Trường Tiểu học Lê Văn Việt</w:t>
      </w:r>
    </w:p>
    <w:p w:rsidR="00C64611" w:rsidRDefault="00947F5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(Số 36, đ</w:t>
      </w:r>
      <w:bookmarkStart w:id="0" w:name="_GoBack"/>
      <w:bookmarkEnd w:id="0"/>
      <w:r>
        <w:rPr>
          <w:sz w:val="28"/>
          <w:szCs w:val="28"/>
        </w:rPr>
        <w:t>ường Man Thiện, phường Tăng Nhơn Phú A, Tp.Thủ Đức).</w:t>
      </w:r>
    </w:p>
    <w:p w:rsidR="00C64611" w:rsidRDefault="00947F5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Người tham gia hiến máu tình nguyện lưu ý về việc đi đúng </w:t>
      </w:r>
      <w:r>
        <w:rPr>
          <w:sz w:val="28"/>
          <w:szCs w:val="28"/>
        </w:rPr>
        <w:t xml:space="preserve">thời gian, đem theo CMND hoặc CCCD; </w:t>
      </w:r>
      <w:r>
        <w:rPr>
          <w:sz w:val="28"/>
          <w:szCs w:val="28"/>
        </w:rPr>
        <w:t xml:space="preserve">cần ăn sáng đầy đủ (sau khi </w:t>
      </w:r>
      <w:r w:rsidR="009C17B1">
        <w:rPr>
          <w:sz w:val="28"/>
          <w:szCs w:val="28"/>
        </w:rPr>
        <w:t xml:space="preserve">người tham </w:t>
      </w:r>
      <w:r>
        <w:rPr>
          <w:sz w:val="28"/>
          <w:szCs w:val="28"/>
        </w:rPr>
        <w:t>hiến máu</w:t>
      </w:r>
      <w:r>
        <w:rPr>
          <w:sz w:val="28"/>
          <w:szCs w:val="28"/>
        </w:rPr>
        <w:t xml:space="preserve"> xong, b</w:t>
      </w:r>
      <w:r>
        <w:rPr>
          <w:sz w:val="28"/>
          <w:szCs w:val="28"/>
        </w:rPr>
        <w:t xml:space="preserve">an tổ chức có </w:t>
      </w:r>
      <w:r>
        <w:rPr>
          <w:sz w:val="28"/>
          <w:szCs w:val="28"/>
        </w:rPr>
        <w:t xml:space="preserve">cấp phát xuất </w:t>
      </w:r>
      <w:r>
        <w:rPr>
          <w:sz w:val="28"/>
          <w:szCs w:val="28"/>
        </w:rPr>
        <w:t>ăn sáng n</w:t>
      </w:r>
      <w:r>
        <w:rPr>
          <w:sz w:val="28"/>
          <w:szCs w:val="28"/>
        </w:rPr>
        <w:t>hẹ</w:t>
      </w:r>
      <w:r>
        <w:rPr>
          <w:sz w:val="28"/>
          <w:szCs w:val="28"/>
        </w:rPr>
        <w:t xml:space="preserve"> theo Thông tư 17/2020/TT-BYT ngày 12 tháng 11 năm 202</w:t>
      </w:r>
      <w:r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của Bộ </w:t>
      </w:r>
      <w:r>
        <w:rPr>
          <w:sz w:val="28"/>
          <w:szCs w:val="28"/>
        </w:rPr>
        <w:t>Y</w:t>
      </w:r>
      <w:r>
        <w:rPr>
          <w:sz w:val="28"/>
          <w:szCs w:val="28"/>
        </w:rPr>
        <w:t xml:space="preserve"> tế).</w:t>
      </w:r>
    </w:p>
    <w:p w:rsidR="00C64611" w:rsidRDefault="00947F5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Phòng Giáo dục và Đào tạo đề nghị Thủ trưởng các đơn vị nghiêm túc </w:t>
      </w:r>
      <w:r>
        <w:rPr>
          <w:sz w:val="28"/>
          <w:szCs w:val="28"/>
        </w:rPr>
        <w:t>triển khai thực hiện./.</w:t>
      </w:r>
    </w:p>
    <w:tbl>
      <w:tblPr>
        <w:tblStyle w:val="a0"/>
        <w:tblW w:w="9283" w:type="dxa"/>
        <w:jc w:val="center"/>
        <w:tblLayout w:type="fixed"/>
        <w:tblLook w:val="0000" w:firstRow="0" w:lastRow="0" w:firstColumn="0" w:lastColumn="0" w:noHBand="0" w:noVBand="0"/>
      </w:tblPr>
      <w:tblGrid>
        <w:gridCol w:w="4216"/>
        <w:gridCol w:w="5067"/>
      </w:tblGrid>
      <w:tr w:rsidR="00C64611" w:rsidTr="00947F5D">
        <w:trPr>
          <w:trHeight w:val="2684"/>
          <w:jc w:val="center"/>
        </w:trPr>
        <w:tc>
          <w:tcPr>
            <w:tcW w:w="42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611" w:rsidRDefault="00947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>
              <w:rPr>
                <w:b/>
                <w:i/>
                <w:sz w:val="24"/>
                <w:szCs w:val="24"/>
              </w:rPr>
              <w:t>Nơi nhận</w:t>
            </w:r>
            <w:r>
              <w:rPr>
                <w:b/>
                <w:i/>
                <w:sz w:val="28"/>
                <w:szCs w:val="28"/>
              </w:rPr>
              <w:t>:</w:t>
            </w:r>
          </w:p>
          <w:p w:rsidR="00C64611" w:rsidRDefault="00947F5D">
            <w:pPr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2"/>
                <w:szCs w:val="22"/>
              </w:rPr>
              <w:t>Như trên;</w:t>
            </w:r>
          </w:p>
          <w:p w:rsidR="00C64611" w:rsidRDefault="00947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Trưởng phòng (để b/c);</w:t>
            </w:r>
          </w:p>
          <w:p w:rsidR="00C64611" w:rsidRDefault="00947F5D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- Lưu: VT, C. Nguyệt.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611" w:rsidRDefault="00947F5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KT.TRƯỞNG PHÒNG</w:t>
            </w:r>
          </w:p>
          <w:p w:rsidR="00C64611" w:rsidRDefault="00947F5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TRƯỞNG PHÒNG</w:t>
            </w:r>
          </w:p>
          <w:p w:rsidR="00C64611" w:rsidRDefault="00C64611">
            <w:pPr>
              <w:jc w:val="center"/>
              <w:rPr>
                <w:sz w:val="28"/>
                <w:szCs w:val="28"/>
              </w:rPr>
            </w:pPr>
          </w:p>
          <w:p w:rsidR="00C64611" w:rsidRDefault="00C64611">
            <w:pPr>
              <w:jc w:val="center"/>
              <w:rPr>
                <w:sz w:val="28"/>
                <w:szCs w:val="28"/>
              </w:rPr>
            </w:pPr>
          </w:p>
          <w:p w:rsidR="00C64611" w:rsidRDefault="00C64611">
            <w:pPr>
              <w:jc w:val="center"/>
              <w:rPr>
                <w:sz w:val="28"/>
                <w:szCs w:val="28"/>
              </w:rPr>
            </w:pPr>
          </w:p>
          <w:p w:rsidR="00C64611" w:rsidRDefault="00C64611">
            <w:pPr>
              <w:jc w:val="center"/>
              <w:rPr>
                <w:sz w:val="28"/>
                <w:szCs w:val="28"/>
              </w:rPr>
            </w:pPr>
          </w:p>
          <w:p w:rsidR="00C64611" w:rsidRDefault="00947F5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Kiều Mỹ Chi</w:t>
            </w:r>
          </w:p>
          <w:p w:rsidR="00C64611" w:rsidRDefault="00947F5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</w:p>
          <w:p w:rsidR="00C64611" w:rsidRDefault="00C6461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64611" w:rsidRDefault="00C64611">
      <w:pPr>
        <w:spacing w:before="120" w:after="120" w:line="276" w:lineRule="auto"/>
        <w:jc w:val="both"/>
      </w:pPr>
    </w:p>
    <w:sectPr w:rsidR="00C64611" w:rsidSect="00947F5D">
      <w:pgSz w:w="11906" w:h="16838"/>
      <w:pgMar w:top="284" w:right="1138" w:bottom="0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compat>
    <w:compatSetting w:name="compatibilityMode" w:uri="http://schemas.microsoft.com/office/word" w:val="14"/>
  </w:compat>
  <w:rsids>
    <w:rsidRoot w:val="00C64611"/>
    <w:rsid w:val="00947F5D"/>
    <w:rsid w:val="009C17B1"/>
    <w:rsid w:val="00C6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2022-12-20T01:42:00Z</dcterms:created>
  <dcterms:modified xsi:type="dcterms:W3CDTF">2022-12-20T01:44:00Z</dcterms:modified>
</cp:coreProperties>
</file>