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6152"/>
      </w:tblGrid>
      <w:tr w:rsidR="005F1487" w14:paraId="63A89A46" w14:textId="77777777" w:rsidTr="009D6C65">
        <w:tc>
          <w:tcPr>
            <w:tcW w:w="4480" w:type="dxa"/>
          </w:tcPr>
          <w:p w14:paraId="38F42C3B" w14:textId="77777777" w:rsidR="005F1487" w:rsidRDefault="005F1487" w:rsidP="005F1487">
            <w:pPr>
              <w:jc w:val="center"/>
            </w:pPr>
            <w:r>
              <w:t>UỶ BAN NHÂN DÂN</w:t>
            </w:r>
          </w:p>
          <w:p w14:paraId="69B3BCF9" w14:textId="77777777" w:rsidR="005F1487" w:rsidRDefault="005F1487" w:rsidP="005F1487">
            <w:pPr>
              <w:jc w:val="center"/>
            </w:pPr>
            <w:r>
              <w:t>THÀNH PHỐ THỦ ĐỨC</w:t>
            </w:r>
          </w:p>
          <w:p w14:paraId="1BC4E788" w14:textId="55028DDA" w:rsidR="005F1487" w:rsidRPr="005F1487" w:rsidRDefault="005F1487" w:rsidP="005F1487">
            <w:pPr>
              <w:spacing w:after="120"/>
              <w:jc w:val="center"/>
              <w:rPr>
                <w:b/>
                <w:bCs/>
              </w:rPr>
            </w:pPr>
            <w:r>
              <w:rPr>
                <w:b/>
                <w:bCs/>
                <w:noProof/>
              </w:rPr>
              <mc:AlternateContent>
                <mc:Choice Requires="wps">
                  <w:drawing>
                    <wp:anchor distT="0" distB="0" distL="114300" distR="114300" simplePos="0" relativeHeight="251657216" behindDoc="0" locked="0" layoutInCell="1" allowOverlap="1" wp14:anchorId="55D4DA16" wp14:editId="13CAAA47">
                      <wp:simplePos x="0" y="0"/>
                      <wp:positionH relativeFrom="column">
                        <wp:posOffset>470535</wp:posOffset>
                      </wp:positionH>
                      <wp:positionV relativeFrom="paragraph">
                        <wp:posOffset>225425</wp:posOffset>
                      </wp:positionV>
                      <wp:extent cx="17373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D67EED"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7.05pt,17.75pt" to="173.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" strokecolor="black [3200]" strokeweight=".5pt">
                      <v:stroke joinstyle="miter"/>
                    </v:line>
                  </w:pict>
                </mc:Fallback>
              </mc:AlternateContent>
            </w:r>
            <w:r w:rsidRPr="005F1487">
              <w:rPr>
                <w:b/>
                <w:bCs/>
              </w:rPr>
              <w:t>PHÒNG GIÁO DỤC VÀ ĐÀO TẠO</w:t>
            </w:r>
          </w:p>
        </w:tc>
        <w:tc>
          <w:tcPr>
            <w:tcW w:w="6152" w:type="dxa"/>
          </w:tcPr>
          <w:p w14:paraId="7D9E36B2" w14:textId="77777777" w:rsidR="005F1487" w:rsidRPr="005F1487" w:rsidRDefault="005F1487" w:rsidP="005F1487">
            <w:pPr>
              <w:jc w:val="center"/>
              <w:rPr>
                <w:b/>
                <w:bCs/>
              </w:rPr>
            </w:pPr>
            <w:r w:rsidRPr="005F1487">
              <w:rPr>
                <w:b/>
                <w:bCs/>
              </w:rPr>
              <w:t>CỘNG HOÀ XÃ HỘI CHỦ NGHĨA VIỆT NAM</w:t>
            </w:r>
          </w:p>
          <w:p w14:paraId="6BF2FB89" w14:textId="5E08D470" w:rsidR="005F1487" w:rsidRDefault="005F1487" w:rsidP="005F1487">
            <w:pPr>
              <w:jc w:val="center"/>
            </w:pPr>
            <w:r>
              <w:rPr>
                <w:b/>
                <w:bCs/>
                <w:noProof/>
              </w:rPr>
              <mc:AlternateContent>
                <mc:Choice Requires="wps">
                  <w:drawing>
                    <wp:anchor distT="0" distB="0" distL="114300" distR="114300" simplePos="0" relativeHeight="251660288" behindDoc="0" locked="0" layoutInCell="1" allowOverlap="1" wp14:anchorId="20193AEC" wp14:editId="176F8466">
                      <wp:simplePos x="0" y="0"/>
                      <wp:positionH relativeFrom="column">
                        <wp:posOffset>788670</wp:posOffset>
                      </wp:positionH>
                      <wp:positionV relativeFrom="paragraph">
                        <wp:posOffset>255270</wp:posOffset>
                      </wp:positionV>
                      <wp:extent cx="206883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68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05FEF0"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1pt,20.1pt" to="22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" strokecolor="black [3200]" strokeweight=".5pt">
                      <v:stroke joinstyle="miter"/>
                    </v:line>
                  </w:pict>
                </mc:Fallback>
              </mc:AlternateContent>
            </w:r>
            <w:r w:rsidRPr="005F1487">
              <w:rPr>
                <w:b/>
                <w:bCs/>
              </w:rPr>
              <w:t>Độc lập – Tự do – Hạnh phúc</w:t>
            </w:r>
          </w:p>
        </w:tc>
      </w:tr>
      <w:tr w:rsidR="005F1487" w14:paraId="237A58CE" w14:textId="77777777" w:rsidTr="009D6C65">
        <w:tc>
          <w:tcPr>
            <w:tcW w:w="4480" w:type="dxa"/>
          </w:tcPr>
          <w:p w14:paraId="563351A9" w14:textId="2D78D85F" w:rsidR="005F1487" w:rsidRDefault="005F1487" w:rsidP="00A07B8C">
            <w:pPr>
              <w:spacing w:before="120" w:after="120"/>
              <w:jc w:val="center"/>
            </w:pPr>
            <w:r>
              <w:t>Số:                     /GDĐT</w:t>
            </w:r>
          </w:p>
        </w:tc>
        <w:tc>
          <w:tcPr>
            <w:tcW w:w="6152" w:type="dxa"/>
          </w:tcPr>
          <w:p w14:paraId="09D09F42" w14:textId="6B67AAEB" w:rsidR="005F1487" w:rsidRPr="00367C7F" w:rsidRDefault="005F1487" w:rsidP="00A07B8C">
            <w:pPr>
              <w:spacing w:before="120" w:after="120"/>
              <w:jc w:val="center"/>
              <w:rPr>
                <w:i/>
                <w:iCs/>
              </w:rPr>
            </w:pPr>
            <w:r w:rsidRPr="00367C7F">
              <w:rPr>
                <w:i/>
                <w:iCs/>
              </w:rPr>
              <w:t>Thành phố Thủ Đức, ngày            tháng 12 năm 2022.</w:t>
            </w:r>
          </w:p>
        </w:tc>
      </w:tr>
      <w:tr w:rsidR="005F1487" w14:paraId="61690C2D" w14:textId="77777777" w:rsidTr="009D6C65">
        <w:tc>
          <w:tcPr>
            <w:tcW w:w="4480" w:type="dxa"/>
          </w:tcPr>
          <w:p w14:paraId="07063C08" w14:textId="7FBC2923" w:rsidR="005F1487" w:rsidRDefault="00777B00" w:rsidP="005F1487">
            <w:pPr>
              <w:jc w:val="center"/>
            </w:pPr>
            <w:r w:rsidRPr="0004472E">
              <w:rPr>
                <w:sz w:val="22"/>
              </w:rPr>
              <w:t>Về việc thu thập, hoàn chỉnh thông tin định danh cá nhân của học sinh, giáo viên trên Hệ thống cơ sở dữ liệu giáo dục và đào tạo của Thành phố Hồ Chí Minh</w:t>
            </w:r>
          </w:p>
        </w:tc>
        <w:tc>
          <w:tcPr>
            <w:tcW w:w="6152" w:type="dxa"/>
          </w:tcPr>
          <w:p w14:paraId="1539B1DC" w14:textId="77777777" w:rsidR="005F1487" w:rsidRDefault="005F1487" w:rsidP="005F1487">
            <w:pPr>
              <w:jc w:val="center"/>
            </w:pPr>
          </w:p>
        </w:tc>
      </w:tr>
    </w:tbl>
    <w:p w14:paraId="37609102" w14:textId="77777777" w:rsidR="005C2D9B" w:rsidRDefault="00703878" w:rsidP="0004472E">
      <w:pPr>
        <w:spacing w:before="360"/>
        <w:ind w:firstLine="2126"/>
      </w:pPr>
      <w:r>
        <w:t xml:space="preserve">Kính gửi: </w:t>
      </w:r>
    </w:p>
    <w:p w14:paraId="5E62831B" w14:textId="12511266" w:rsidR="00017261" w:rsidRDefault="00703878" w:rsidP="0004472E">
      <w:pPr>
        <w:pStyle w:val="ListParagraph"/>
        <w:numPr>
          <w:ilvl w:val="0"/>
          <w:numId w:val="1"/>
        </w:numPr>
        <w:ind w:left="3261"/>
      </w:pPr>
      <w:r>
        <w:t>Hiệu trưởng</w:t>
      </w:r>
      <w:r w:rsidR="005C2D9B">
        <w:t xml:space="preserve"> các trường Trung học cơ sở</w:t>
      </w:r>
      <w:r w:rsidR="00017261">
        <w:t>;</w:t>
      </w:r>
    </w:p>
    <w:p w14:paraId="7B014E66" w14:textId="4B3B7F30" w:rsidR="005F12DA" w:rsidRDefault="00017261" w:rsidP="0004472E">
      <w:pPr>
        <w:pStyle w:val="ListParagraph"/>
        <w:numPr>
          <w:ilvl w:val="0"/>
          <w:numId w:val="1"/>
        </w:numPr>
        <w:ind w:left="3261"/>
      </w:pPr>
      <w:r w:rsidRPr="00017261">
        <w:t xml:space="preserve">Hiệu trưởng các trường </w:t>
      </w:r>
      <w:r w:rsidR="005C2D9B">
        <w:t>Tiểu học</w:t>
      </w:r>
      <w:r>
        <w:t>;</w:t>
      </w:r>
    </w:p>
    <w:p w14:paraId="5339D6FA" w14:textId="32A69E6D" w:rsidR="00017261" w:rsidRDefault="00017261" w:rsidP="0004472E">
      <w:pPr>
        <w:pStyle w:val="ListParagraph"/>
        <w:numPr>
          <w:ilvl w:val="0"/>
          <w:numId w:val="1"/>
        </w:numPr>
        <w:ind w:left="3261"/>
      </w:pPr>
      <w:r>
        <w:t>Hiệu trưởng các trường mầm non, trường mẫu giáo;</w:t>
      </w:r>
    </w:p>
    <w:p w14:paraId="4E526862" w14:textId="53C1F33A" w:rsidR="00017261" w:rsidRDefault="00017261" w:rsidP="0004472E">
      <w:pPr>
        <w:pStyle w:val="ListParagraph"/>
        <w:numPr>
          <w:ilvl w:val="0"/>
          <w:numId w:val="1"/>
        </w:numPr>
        <w:ind w:left="3261"/>
      </w:pPr>
      <w:r>
        <w:t>Chủ các nhóm trẻ</w:t>
      </w:r>
      <w:r w:rsidR="0004472E">
        <w:t>, lớp mẫu giáo, lớp mầm non độc lập.</w:t>
      </w:r>
    </w:p>
    <w:p w14:paraId="6E5AF567" w14:textId="77777777" w:rsidR="00B92A02" w:rsidRPr="00B92A02" w:rsidRDefault="00B92A02" w:rsidP="009C629C">
      <w:pPr>
        <w:spacing w:before="360" w:after="120"/>
        <w:ind w:firstLine="567"/>
        <w:jc w:val="both"/>
        <w:rPr>
          <w:color w:val="000000"/>
        </w:rPr>
      </w:pPr>
      <w:r w:rsidRPr="00B92A02">
        <w:rPr>
          <w:color w:val="000000"/>
        </w:rPr>
        <w:t>Căn cứ Thông tư số 24/2018/TT-BGDĐT ngày 28/9/2018 của Bộ Giáo dục và Đào tạo về quy định chế độ báo cáo thống kê ngành giáo dục;</w:t>
      </w:r>
    </w:p>
    <w:p w14:paraId="32856981" w14:textId="77777777" w:rsidR="00B92A02" w:rsidRPr="00B92A02" w:rsidRDefault="00B92A02" w:rsidP="00B92A02">
      <w:pPr>
        <w:spacing w:before="120" w:after="120"/>
        <w:ind w:firstLine="567"/>
        <w:jc w:val="both"/>
        <w:rPr>
          <w:color w:val="000000"/>
        </w:rPr>
      </w:pPr>
      <w:r w:rsidRPr="00B92A02">
        <w:rPr>
          <w:color w:val="000000"/>
        </w:rPr>
        <w:t>Căn cứ Công văn số 5041/BGDĐT-CNTT ngày 04/10/2022 của Bộ Giáo dục và Đào tạo về việc triển khai báo cáo thống kê kỳ đầu năm học 2022-2023;</w:t>
      </w:r>
    </w:p>
    <w:p w14:paraId="432D41B8" w14:textId="77777777" w:rsidR="00B92A02" w:rsidRPr="00B92A02" w:rsidRDefault="00B92A02" w:rsidP="00B92A02">
      <w:pPr>
        <w:spacing w:before="120" w:after="120"/>
        <w:ind w:firstLine="567"/>
        <w:jc w:val="both"/>
        <w:rPr>
          <w:color w:val="000000"/>
        </w:rPr>
      </w:pPr>
      <w:r w:rsidRPr="00B92A02">
        <w:rPr>
          <w:color w:val="000000"/>
        </w:rPr>
        <w:t>Căn cứ Công văn số 5342/BGDĐT-CNTT ngày 12/10/2022 của Bộ Giáo dục và Đào tạo về việc thu thập, hoàn chỉnh thông tin định danh cá nhân của học sinh, giáo viên trên CSDL giáo dục đào tạo;</w:t>
      </w:r>
    </w:p>
    <w:p w14:paraId="3A3F111A" w14:textId="1EC380FB" w:rsidR="00B92A02" w:rsidRPr="00B92A02" w:rsidRDefault="00B92A02" w:rsidP="00B92A02">
      <w:pPr>
        <w:spacing w:before="120" w:after="120"/>
        <w:ind w:firstLine="567"/>
        <w:jc w:val="both"/>
        <w:rPr>
          <w:bCs/>
          <w:color w:val="000000"/>
        </w:rPr>
      </w:pPr>
      <w:r w:rsidRPr="00B92A02">
        <w:rPr>
          <w:color w:val="000000"/>
        </w:rPr>
        <w:t xml:space="preserve">Căn cứ Quyết định số 645/QĐ-SGDĐT ngày 24/3/2022 của Sở Giáo dục và Đào tạo về </w:t>
      </w:r>
      <w:r w:rsidRPr="00B92A02">
        <w:rPr>
          <w:bCs/>
          <w:color w:val="000000"/>
        </w:rPr>
        <w:t xml:space="preserve">việc ban hành Quy chế tạm thời quản lý, vận hành, khai thác sử dụng Hệ thống cơ sở dữ liệu giáo dục và đào tạo của Thành phố Hồ Chí Minh </w:t>
      </w:r>
      <w:r w:rsidRPr="00B92A02">
        <w:rPr>
          <w:color w:val="000000"/>
        </w:rPr>
        <w:t xml:space="preserve">tại địa chỉ </w:t>
      </w:r>
      <w:hyperlink r:id="rId7" w:history="1">
        <w:r w:rsidRPr="00B92A02">
          <w:rPr>
            <w:rStyle w:val="Hyperlink"/>
            <w:b/>
            <w:color w:val="000000" w:themeColor="text1"/>
          </w:rPr>
          <w:t>https://csdl.hcm.edu.vn/</w:t>
        </w:r>
      </w:hyperlink>
      <w:r w:rsidRPr="00B92A02">
        <w:rPr>
          <w:b/>
          <w:color w:val="000000"/>
        </w:rPr>
        <w:t xml:space="preserve"> (gọi tắt là CSDL HCM)</w:t>
      </w:r>
      <w:r w:rsidRPr="00B92A02">
        <w:rPr>
          <w:bCs/>
          <w:color w:val="000000"/>
        </w:rPr>
        <w:t>;</w:t>
      </w:r>
    </w:p>
    <w:p w14:paraId="1F68BA61" w14:textId="2914460E" w:rsidR="00A07B8C" w:rsidRDefault="00B92A02" w:rsidP="00B92A02">
      <w:pPr>
        <w:ind w:firstLine="567"/>
        <w:rPr>
          <w:bCs/>
          <w:color w:val="000000"/>
        </w:rPr>
      </w:pPr>
      <w:r w:rsidRPr="00B92A02">
        <w:rPr>
          <w:bCs/>
          <w:color w:val="000000"/>
        </w:rPr>
        <w:tab/>
        <w:t>Căn cứ Công văn số 3855/SGDĐT-KHTC ngày 13/10/2022 của Sở Giáo dục và Đào tạo về việc thực hiện thu thập dữ liệu thông tin thống kê giáo dục kỳ đầu năm học 2022-2023_lần 2;</w:t>
      </w:r>
    </w:p>
    <w:p w14:paraId="09D05FE1" w14:textId="69D99E35" w:rsidR="00B047AA" w:rsidRDefault="00B047AA" w:rsidP="00B047AA">
      <w:pPr>
        <w:spacing w:before="120" w:after="120"/>
        <w:ind w:firstLine="720"/>
        <w:jc w:val="both"/>
      </w:pPr>
      <w:r w:rsidRPr="00B940DE">
        <w:t xml:space="preserve">Để đảm bảo 100% dữ liệu về học sinh, giáo viên, cán bộ quản lý và nhân viên (thuộc các bậc học từ mầm non tới lớp </w:t>
      </w:r>
      <w:r>
        <w:t>09</w:t>
      </w:r>
      <w:r w:rsidRPr="00B940DE">
        <w:t xml:space="preserve">) trên CSDL ngành được xác thực, định danh, đồng bộ với CSDLQGvDC, </w:t>
      </w:r>
      <w:r>
        <w:rPr>
          <w:bCs/>
          <w:color w:val="000000"/>
        </w:rPr>
        <w:t>Phòng</w:t>
      </w:r>
      <w:r>
        <w:rPr>
          <w:bCs/>
          <w:color w:val="000000"/>
        </w:rPr>
        <w:t xml:space="preserve"> Giáo dục và Đào tạo triển khai </w:t>
      </w:r>
      <w:r w:rsidR="00C97AB4">
        <w:rPr>
          <w:bCs/>
          <w:color w:val="000000"/>
        </w:rPr>
        <w:t>đến</w:t>
      </w:r>
      <w:r>
        <w:rPr>
          <w:bCs/>
          <w:color w:val="000000"/>
        </w:rPr>
        <w:t xml:space="preserve"> </w:t>
      </w:r>
      <w:r>
        <w:t>Thủ trưởng các đơn vị thực hiện đầy đủ các nội dung cụ thể như sau:</w:t>
      </w:r>
    </w:p>
    <w:p w14:paraId="334B28F7" w14:textId="512E74E8" w:rsidR="00C97AB4" w:rsidRDefault="00101E05" w:rsidP="00B047AA">
      <w:pPr>
        <w:spacing w:before="120" w:after="120"/>
        <w:ind w:firstLine="720"/>
        <w:jc w:val="both"/>
      </w:pPr>
      <w:r w:rsidRPr="00B940DE">
        <w:t xml:space="preserve">Các cơ sở giáo dục </w:t>
      </w:r>
      <w:r>
        <w:t xml:space="preserve">trên địa bàn </w:t>
      </w:r>
      <w:r w:rsidRPr="00B940DE">
        <w:t>rà soát hồ sơ của giáo viên, cán bộ quản lý và nhân viên trên CSDL ngành và cập nhật chính xác, đầy đủ các trường thông tin liên</w:t>
      </w:r>
      <w:r>
        <w:t xml:space="preserve"> </w:t>
      </w:r>
      <w:r w:rsidRPr="00B940DE">
        <w:t xml:space="preserve">quan đến định danh cá nhân, bao gồm: họ tên, ngày sinh, giới tính, số chứng minh nhân dân/căn cước công dân, nơi thường trú (tỉnh/huyện/xã). Trong đó, cần lưu ý kiểm tra thông tin các hồ sơ chưa được xác thực, định danh với CSDLQGvDC. Trong trường hợp cơ sở giáo dục tiếp nhận học sinh chuyển về, đặc biệt là với học sinh bậc mầm non đề nghị cập nhật đầy đủ các thông tin định danh cá nhân trên CSDL ngành. Các cơ sở giáo </w:t>
      </w:r>
      <w:r w:rsidRPr="00B940DE">
        <w:lastRenderedPageBreak/>
        <w:t>dục chủ động nâng cấp phần mềm quản lý để đáp ứng yêu cầu quản lý đối với thông tin số định danh cá nhân của học sinh, đội ngũ.</w:t>
      </w:r>
    </w:p>
    <w:p w14:paraId="0EFAD682" w14:textId="578D997C" w:rsidR="00101E05" w:rsidRDefault="003133DE" w:rsidP="00B047AA">
      <w:pPr>
        <w:spacing w:before="120" w:after="120"/>
        <w:ind w:firstLine="720"/>
        <w:jc w:val="both"/>
      </w:pPr>
      <w:r w:rsidRPr="00B940DE">
        <w:t>Thu thập, hoàn chỉnh các thông tin liên quan đến định danh cá nhân, thực hiện theo Quy trình thu thập, hoàn chỉnh thông tin định danh cá nhân của học sinh</w:t>
      </w:r>
      <w:r>
        <w:t xml:space="preserve"> (</w:t>
      </w:r>
      <w:r w:rsidRPr="00DA1BEF">
        <w:rPr>
          <w:b/>
          <w:bCs/>
          <w:i/>
          <w:iCs/>
        </w:rPr>
        <w:t>trước ngày 24/12/2022</w:t>
      </w:r>
      <w:r>
        <w:t>)</w:t>
      </w:r>
      <w:r w:rsidR="006D67B2">
        <w:t>.</w:t>
      </w:r>
    </w:p>
    <w:p w14:paraId="5D77AAD5" w14:textId="5B5D4411" w:rsidR="00B327FA" w:rsidRPr="00B212EB" w:rsidRDefault="00B327FA" w:rsidP="00995AC9">
      <w:pPr>
        <w:spacing w:before="120" w:after="120"/>
        <w:jc w:val="both"/>
        <w:rPr>
          <w:b/>
          <w:bCs/>
          <w:i/>
          <w:iCs/>
          <w:u w:val="single"/>
        </w:rPr>
      </w:pPr>
      <w:r w:rsidRPr="00B212EB">
        <w:rPr>
          <w:b/>
          <w:bCs/>
          <w:i/>
          <w:iCs/>
          <w:u w:val="single"/>
        </w:rPr>
        <w:t>Lưu ý:</w:t>
      </w:r>
    </w:p>
    <w:p w14:paraId="680A36CF" w14:textId="493D5C67" w:rsidR="00995AC9" w:rsidRDefault="00995AC9" w:rsidP="00B212EB">
      <w:pPr>
        <w:pStyle w:val="ListParagraph"/>
        <w:numPr>
          <w:ilvl w:val="0"/>
          <w:numId w:val="1"/>
        </w:numPr>
        <w:tabs>
          <w:tab w:val="left" w:pos="851"/>
        </w:tabs>
        <w:spacing w:before="120" w:after="120"/>
        <w:ind w:left="0" w:firstLine="360"/>
        <w:jc w:val="both"/>
      </w:pPr>
      <w:r>
        <w:t xml:space="preserve">Phòng Giáo dục và Đào tạo đã có bản thống kê và </w:t>
      </w:r>
      <w:r w:rsidRPr="00B212EB">
        <w:rPr>
          <w:b/>
          <w:bCs/>
          <w:i/>
          <w:iCs/>
          <w:u w:val="single"/>
        </w:rPr>
        <w:t>danh sách cụ thể</w:t>
      </w:r>
      <w:r>
        <w:t xml:space="preserve"> (cả học sinh và CB-GV-NV)</w:t>
      </w:r>
      <w:r w:rsidR="0050492A">
        <w:t xml:space="preserve"> </w:t>
      </w:r>
      <w:r w:rsidR="0050492A" w:rsidRPr="00B212EB">
        <w:rPr>
          <w:b/>
          <w:bCs/>
          <w:i/>
          <w:iCs/>
          <w:u w:val="single"/>
        </w:rPr>
        <w:t>chưa hoàn chỉnh thông tin định danh</w:t>
      </w:r>
      <w:r w:rsidR="0050492A">
        <w:t>,</w:t>
      </w:r>
      <w:r w:rsidR="00B212EB">
        <w:t xml:space="preserve"> các đơn vị tải về để tiện hoàn thiện.</w:t>
      </w:r>
    </w:p>
    <w:p w14:paraId="471FCD80" w14:textId="3DD13974" w:rsidR="00450A76" w:rsidRDefault="00450A76" w:rsidP="00B047AA">
      <w:pPr>
        <w:spacing w:before="120" w:after="120"/>
        <w:ind w:firstLine="720"/>
        <w:jc w:val="both"/>
      </w:pPr>
      <w:r w:rsidRPr="00450A76">
        <w:t xml:space="preserve">Trong quá trình thực hiện, nếu có vấn đề gì vướng mắc xin liên hệ trực tiếp với Ông </w:t>
      </w:r>
      <w:r>
        <w:t xml:space="preserve">Đoàn Đức Quí </w:t>
      </w:r>
      <w:r w:rsidR="0058151E">
        <w:t>– chuyên viên Phòng Giáo dục và Đào tạo</w:t>
      </w:r>
      <w:r w:rsidR="003C3CF9">
        <w:t xml:space="preserve">, </w:t>
      </w:r>
      <w:r w:rsidR="009C629C">
        <w:t>điện thoại</w:t>
      </w:r>
      <w:r w:rsidR="003C3CF9">
        <w:t>: 0918 225 95</w:t>
      </w:r>
      <w:r w:rsidR="009C629C">
        <w:t>, thư điện tử: DoanDucQui@hcm.edu.vn</w:t>
      </w:r>
    </w:p>
    <w:p w14:paraId="132BEE4E" w14:textId="7456F5C7" w:rsidR="00B71091" w:rsidRDefault="0090691C" w:rsidP="00B047AA">
      <w:pPr>
        <w:spacing w:before="120" w:after="120"/>
        <w:ind w:firstLine="720"/>
        <w:jc w:val="both"/>
      </w:pPr>
      <w:r>
        <w:t xml:space="preserve">Phòng Giáo dục và Đào tạo thành phố Thủ Đức đề nghị thủ trưởng các đơn vị </w:t>
      </w:r>
      <w:r w:rsidR="00036964">
        <w:t>chỉ đạo thực hiện nghiêm túc công văn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E33AB" w14:paraId="53414A92" w14:textId="77777777" w:rsidTr="00367C7F">
        <w:tc>
          <w:tcPr>
            <w:tcW w:w="4531" w:type="dxa"/>
          </w:tcPr>
          <w:p w14:paraId="62CB6AFD" w14:textId="77777777" w:rsidR="001B7BF7" w:rsidRPr="002621BC" w:rsidRDefault="001B7BF7" w:rsidP="001B7BF7">
            <w:pPr>
              <w:rPr>
                <w:b/>
                <w:bCs/>
                <w:sz w:val="24"/>
                <w:szCs w:val="24"/>
              </w:rPr>
            </w:pPr>
            <w:r w:rsidRPr="002621BC">
              <w:rPr>
                <w:b/>
                <w:bCs/>
                <w:i/>
                <w:sz w:val="24"/>
                <w:szCs w:val="24"/>
              </w:rPr>
              <w:t xml:space="preserve">Nơi nhận:                                                                                                </w:t>
            </w:r>
          </w:p>
          <w:p w14:paraId="30D45F00" w14:textId="27E0DF5A" w:rsidR="001B7BF7" w:rsidRPr="00373F13" w:rsidRDefault="001B7BF7" w:rsidP="001B7BF7">
            <w:pPr>
              <w:rPr>
                <w:bCs/>
              </w:rPr>
            </w:pPr>
            <w:r w:rsidRPr="00373F13">
              <w:rPr>
                <w:bCs/>
                <w:sz w:val="22"/>
              </w:rPr>
              <w:t>- Như trên;</w:t>
            </w:r>
            <w:r w:rsidRPr="00373F13">
              <w:rPr>
                <w:bCs/>
              </w:rPr>
              <w:tab/>
            </w:r>
            <w:r w:rsidRPr="00373F13">
              <w:rPr>
                <w:bCs/>
              </w:rPr>
              <w:tab/>
            </w:r>
            <w:r w:rsidRPr="00373F13">
              <w:rPr>
                <w:bCs/>
              </w:rPr>
              <w:tab/>
            </w:r>
            <w:r w:rsidRPr="00373F13">
              <w:rPr>
                <w:bCs/>
              </w:rPr>
              <w:tab/>
              <w:t xml:space="preserve">      </w:t>
            </w:r>
          </w:p>
          <w:p w14:paraId="376D03CD" w14:textId="713D4076" w:rsidR="001B7BF7" w:rsidRPr="001C7513" w:rsidRDefault="001B7BF7" w:rsidP="00CD712E">
            <w:pPr>
              <w:rPr>
                <w:bCs/>
                <w:sz w:val="22"/>
              </w:rPr>
            </w:pPr>
            <w:r w:rsidRPr="00373F13">
              <w:rPr>
                <w:bCs/>
                <w:sz w:val="22"/>
              </w:rPr>
              <w:t>- Lưu: V</w:t>
            </w:r>
            <w:r>
              <w:rPr>
                <w:bCs/>
                <w:sz w:val="22"/>
              </w:rPr>
              <w:t>T</w:t>
            </w:r>
            <w:r w:rsidRPr="00373F13">
              <w:rPr>
                <w:bCs/>
                <w:sz w:val="22"/>
              </w:rPr>
              <w:t xml:space="preserve">, </w:t>
            </w:r>
            <w:r w:rsidR="00367C7F">
              <w:rPr>
                <w:bCs/>
                <w:sz w:val="22"/>
              </w:rPr>
              <w:t>Đ.Quí</w:t>
            </w:r>
            <w:r>
              <w:rPr>
                <w:bCs/>
                <w:sz w:val="22"/>
              </w:rPr>
              <w:t>.</w:t>
            </w:r>
          </w:p>
          <w:p w14:paraId="062E8FE3" w14:textId="77777777" w:rsidR="00CE33AB" w:rsidRDefault="00CE33AB" w:rsidP="00CE33AB">
            <w:pPr>
              <w:spacing w:before="120" w:after="120"/>
              <w:jc w:val="both"/>
            </w:pPr>
          </w:p>
        </w:tc>
        <w:tc>
          <w:tcPr>
            <w:tcW w:w="4531" w:type="dxa"/>
          </w:tcPr>
          <w:p w14:paraId="4AFBDC94" w14:textId="77777777" w:rsidR="00CE33AB" w:rsidRPr="00B44402" w:rsidRDefault="00B44402" w:rsidP="00B44402">
            <w:pPr>
              <w:spacing w:before="120" w:after="120"/>
              <w:jc w:val="center"/>
              <w:rPr>
                <w:b/>
                <w:bCs/>
              </w:rPr>
            </w:pPr>
            <w:r w:rsidRPr="00B44402">
              <w:rPr>
                <w:b/>
                <w:bCs/>
              </w:rPr>
              <w:t>TRƯỞNG PHÒNG</w:t>
            </w:r>
          </w:p>
          <w:p w14:paraId="43529C41" w14:textId="13EE1929" w:rsidR="00B44402" w:rsidRPr="00B44402" w:rsidRDefault="00B44402" w:rsidP="00CD712E">
            <w:pPr>
              <w:spacing w:before="1280" w:after="120"/>
              <w:jc w:val="center"/>
              <w:rPr>
                <w:b/>
                <w:bCs/>
                <w:i/>
                <w:iCs/>
              </w:rPr>
            </w:pPr>
            <w:r w:rsidRPr="00B44402">
              <w:rPr>
                <w:b/>
                <w:bCs/>
                <w:i/>
                <w:iCs/>
              </w:rPr>
              <w:t>Nguyễn Thái Vĩnh Nguyên</w:t>
            </w:r>
          </w:p>
        </w:tc>
      </w:tr>
    </w:tbl>
    <w:p w14:paraId="17E24A80" w14:textId="77777777" w:rsidR="00CE33AB" w:rsidRDefault="00CE33AB" w:rsidP="00CE33AB">
      <w:pPr>
        <w:spacing w:before="120" w:after="120"/>
        <w:jc w:val="both"/>
      </w:pPr>
    </w:p>
    <w:p w14:paraId="17D818C2" w14:textId="77777777" w:rsidR="004E53DC" w:rsidRDefault="004E53DC" w:rsidP="00B047AA">
      <w:pPr>
        <w:spacing w:before="120" w:after="120"/>
        <w:ind w:firstLine="720"/>
        <w:jc w:val="both"/>
      </w:pPr>
    </w:p>
    <w:p w14:paraId="365288C6" w14:textId="77777777" w:rsidR="00B047AA" w:rsidRDefault="00B047AA" w:rsidP="00B92A02">
      <w:pPr>
        <w:ind w:firstLine="567"/>
      </w:pPr>
    </w:p>
    <w:sectPr w:rsidR="00B047AA" w:rsidSect="00367C7F">
      <w:headerReference w:type="default" r:id="rId8"/>
      <w:pgSz w:w="11907" w:h="16840" w:code="9"/>
      <w:pgMar w:top="1418" w:right="1134" w:bottom="1418"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9C73E" w14:textId="77777777" w:rsidR="00367C7F" w:rsidRDefault="00367C7F" w:rsidP="00367C7F">
      <w:pPr>
        <w:spacing w:after="0" w:line="240" w:lineRule="auto"/>
      </w:pPr>
      <w:r>
        <w:separator/>
      </w:r>
    </w:p>
  </w:endnote>
  <w:endnote w:type="continuationSeparator" w:id="0">
    <w:p w14:paraId="5FA4E312" w14:textId="77777777" w:rsidR="00367C7F" w:rsidRDefault="00367C7F" w:rsidP="00367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43D82" w14:textId="77777777" w:rsidR="00367C7F" w:rsidRDefault="00367C7F" w:rsidP="00367C7F">
      <w:pPr>
        <w:spacing w:after="0" w:line="240" w:lineRule="auto"/>
      </w:pPr>
      <w:r>
        <w:separator/>
      </w:r>
    </w:p>
  </w:footnote>
  <w:footnote w:type="continuationSeparator" w:id="0">
    <w:p w14:paraId="630D5907" w14:textId="77777777" w:rsidR="00367C7F" w:rsidRDefault="00367C7F" w:rsidP="00367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93339"/>
      <w:docPartObj>
        <w:docPartGallery w:val="Page Numbers (Top of Page)"/>
        <w:docPartUnique/>
      </w:docPartObj>
    </w:sdtPr>
    <w:sdtEndPr>
      <w:rPr>
        <w:noProof/>
      </w:rPr>
    </w:sdtEndPr>
    <w:sdtContent>
      <w:p w14:paraId="0C163532" w14:textId="0E76FFA5" w:rsidR="00367C7F" w:rsidRDefault="00367C7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CAA2809" w14:textId="5084A762" w:rsidR="00367C7F" w:rsidRDefault="00367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665DD3"/>
    <w:multiLevelType w:val="hybridMultilevel"/>
    <w:tmpl w:val="E194A29C"/>
    <w:lvl w:ilvl="0" w:tplc="A7F264A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633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7"/>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46"/>
    <w:rsid w:val="00017261"/>
    <w:rsid w:val="00036964"/>
    <w:rsid w:val="0004472E"/>
    <w:rsid w:val="00101E05"/>
    <w:rsid w:val="001B6DDA"/>
    <w:rsid w:val="001B7BF7"/>
    <w:rsid w:val="00233DAE"/>
    <w:rsid w:val="002915F7"/>
    <w:rsid w:val="003133DE"/>
    <w:rsid w:val="00367C7F"/>
    <w:rsid w:val="003C3CF9"/>
    <w:rsid w:val="003C68AB"/>
    <w:rsid w:val="00450A76"/>
    <w:rsid w:val="004E53DC"/>
    <w:rsid w:val="0050492A"/>
    <w:rsid w:val="0058151E"/>
    <w:rsid w:val="005C2D9B"/>
    <w:rsid w:val="005F12DA"/>
    <w:rsid w:val="005F1487"/>
    <w:rsid w:val="00676352"/>
    <w:rsid w:val="006D67B2"/>
    <w:rsid w:val="006F4E02"/>
    <w:rsid w:val="00703878"/>
    <w:rsid w:val="00777B00"/>
    <w:rsid w:val="0090691C"/>
    <w:rsid w:val="009478BE"/>
    <w:rsid w:val="00995AC9"/>
    <w:rsid w:val="009C629C"/>
    <w:rsid w:val="009D6C65"/>
    <w:rsid w:val="00A07B8C"/>
    <w:rsid w:val="00B047AA"/>
    <w:rsid w:val="00B212EB"/>
    <w:rsid w:val="00B327FA"/>
    <w:rsid w:val="00B44402"/>
    <w:rsid w:val="00B71091"/>
    <w:rsid w:val="00B92A02"/>
    <w:rsid w:val="00C04246"/>
    <w:rsid w:val="00C37D6B"/>
    <w:rsid w:val="00C97AB4"/>
    <w:rsid w:val="00CD712E"/>
    <w:rsid w:val="00CE33AB"/>
    <w:rsid w:val="00DA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FCFBE"/>
  <w15:chartTrackingRefBased/>
  <w15:docId w15:val="{2067BDAC-9431-44F1-B973-18CDD4E6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6"/>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D9B"/>
    <w:pPr>
      <w:ind w:left="720"/>
      <w:contextualSpacing/>
    </w:pPr>
  </w:style>
  <w:style w:type="character" w:styleId="Hyperlink">
    <w:name w:val="Hyperlink"/>
    <w:rsid w:val="00B92A02"/>
    <w:rPr>
      <w:color w:val="0000FF"/>
      <w:u w:val="single"/>
    </w:rPr>
  </w:style>
  <w:style w:type="paragraph" w:styleId="Header">
    <w:name w:val="header"/>
    <w:basedOn w:val="Normal"/>
    <w:link w:val="HeaderChar"/>
    <w:uiPriority w:val="99"/>
    <w:unhideWhenUsed/>
    <w:rsid w:val="00367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C7F"/>
  </w:style>
  <w:style w:type="paragraph" w:styleId="Footer">
    <w:name w:val="footer"/>
    <w:basedOn w:val="Normal"/>
    <w:link w:val="FooterChar"/>
    <w:uiPriority w:val="99"/>
    <w:unhideWhenUsed/>
    <w:rsid w:val="00367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sdl.hcm.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 Duc Qui</dc:creator>
  <cp:keywords/>
  <dc:description/>
  <cp:lastModifiedBy>Doan Duc Qui</cp:lastModifiedBy>
  <cp:revision>18</cp:revision>
  <dcterms:created xsi:type="dcterms:W3CDTF">2022-12-16T08:09:00Z</dcterms:created>
  <dcterms:modified xsi:type="dcterms:W3CDTF">2022-12-16T08:40:00Z</dcterms:modified>
</cp:coreProperties>
</file>