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BB4" w:rsidRDefault="005A2BB4" w:rsidP="005A2BB4">
      <w:pPr>
        <w:pStyle w:val="NormalWeb"/>
        <w:spacing w:before="0" w:beforeAutospacing="0" w:after="150" w:afterAutospacing="0" w:line="375" w:lineRule="atLeast"/>
        <w:jc w:val="both"/>
        <w:rPr>
          <w:rFonts w:ascii="Helvetica" w:hAnsi="Helvetica" w:cs="Helvetica"/>
          <w:color w:val="000000"/>
          <w:sz w:val="21"/>
          <w:szCs w:val="21"/>
        </w:rPr>
      </w:pPr>
      <w:r>
        <w:rPr>
          <w:rFonts w:ascii="Helvetica" w:hAnsi="Helvetica" w:cs="Helvetica"/>
          <w:color w:val="000000"/>
          <w:sz w:val="21"/>
          <w:szCs w:val="21"/>
        </w:rPr>
        <w:t>Ngày 15/9/2021, Ban Chỉ đạo phòng, chống dịch Covid-19 thành phố Hồ Chí Minh (TPHCM) đã ban hành Quyết định số 3328/QĐ-BCĐ về Bộ tiêu chí đánh giá hoạt động an toàn trong phòng, chống dịch Covid-19 tại các cơ sở sản xuất, kinh doanh thương mại trên địa bàn TPHCM. Đây là cơ sở để các doanh nghiệp mở cửa hoạt động trở lại sau khi TPHCM chuyển sang trạng thái bình thường mới trong thời gian sắp tới.</w:t>
      </w:r>
    </w:p>
    <w:p w:rsidR="005A2BB4" w:rsidRDefault="005A2BB4" w:rsidP="005A2BB4">
      <w:pPr>
        <w:pStyle w:val="NormalWeb"/>
        <w:spacing w:before="0" w:beforeAutospacing="0" w:after="150" w:afterAutospacing="0" w:line="375" w:lineRule="atLeast"/>
        <w:jc w:val="both"/>
        <w:rPr>
          <w:rFonts w:ascii="Helvetica" w:hAnsi="Helvetica" w:cs="Helvetica"/>
          <w:color w:val="000000"/>
          <w:sz w:val="21"/>
          <w:szCs w:val="21"/>
        </w:rPr>
      </w:pPr>
      <w:r>
        <w:rPr>
          <w:rFonts w:ascii="Helvetica" w:hAnsi="Helvetica" w:cs="Helvetica"/>
          <w:color w:val="000000"/>
          <w:sz w:val="21"/>
          <w:szCs w:val="21"/>
        </w:rPr>
        <w:t>Ban hành kèm theo Quyết định này Bộ tiêu chí đánh giá hoạt động an toàn trong phòng, chống dịch COVID-19 tại các cơ sở sản xuất, kinh doanh thương mại trên địa bàn Thành phố Hồ Chí Minh, gồm:</w:t>
      </w:r>
    </w:p>
    <w:p w:rsidR="005A2BB4" w:rsidRDefault="005A2BB4" w:rsidP="005A2BB4">
      <w:pPr>
        <w:pStyle w:val="NormalWeb"/>
        <w:spacing w:before="0" w:beforeAutospacing="0" w:after="150" w:afterAutospacing="0" w:line="375" w:lineRule="atLeast"/>
        <w:jc w:val="both"/>
        <w:rPr>
          <w:rFonts w:ascii="Helvetica" w:hAnsi="Helvetica" w:cs="Helvetica"/>
          <w:color w:val="000000"/>
          <w:sz w:val="21"/>
          <w:szCs w:val="21"/>
        </w:rPr>
      </w:pPr>
      <w:r>
        <w:rPr>
          <w:rFonts w:ascii="Helvetica" w:hAnsi="Helvetica" w:cs="Helvetica"/>
          <w:color w:val="000000"/>
          <w:sz w:val="21"/>
          <w:szCs w:val="21"/>
        </w:rPr>
        <w:t>- Bộ tiêu chí đánh giá hoạt động an toàn trong phòng, chống dịch COVID-19 tại siêu thị, trung tâm thương mại, siêu thị mini, cửa hàng tiện lợi, cửa hàng bán lẻ lương thực thực phẩm trên địa bàn TPHCM.</w:t>
      </w:r>
    </w:p>
    <w:p w:rsidR="005A2BB4" w:rsidRDefault="005A2BB4" w:rsidP="005A2BB4">
      <w:pPr>
        <w:pStyle w:val="NormalWeb"/>
        <w:spacing w:before="0" w:beforeAutospacing="0" w:after="150" w:afterAutospacing="0" w:line="375" w:lineRule="atLeast"/>
        <w:jc w:val="both"/>
        <w:rPr>
          <w:rFonts w:ascii="Helvetica" w:hAnsi="Helvetica" w:cs="Helvetica"/>
          <w:color w:val="000000"/>
          <w:sz w:val="21"/>
          <w:szCs w:val="21"/>
        </w:rPr>
      </w:pPr>
      <w:r>
        <w:rPr>
          <w:rFonts w:ascii="Helvetica" w:hAnsi="Helvetica" w:cs="Helvetica"/>
          <w:color w:val="000000"/>
          <w:sz w:val="21"/>
          <w:szCs w:val="21"/>
        </w:rPr>
        <w:t>- Bộ tiêu chí đánh giá hoạt động an toàn trong phòng, chống dịch COVID-19 tại chợ truyền thống trên địa bàn TPHCM.</w:t>
      </w:r>
    </w:p>
    <w:p w:rsidR="005A2BB4" w:rsidRDefault="005A2BB4" w:rsidP="005A2BB4">
      <w:pPr>
        <w:pStyle w:val="NormalWeb"/>
        <w:spacing w:before="0" w:beforeAutospacing="0" w:after="150" w:afterAutospacing="0" w:line="375" w:lineRule="atLeast"/>
        <w:jc w:val="both"/>
        <w:rPr>
          <w:rFonts w:ascii="Helvetica" w:hAnsi="Helvetica" w:cs="Helvetica"/>
          <w:color w:val="000000"/>
          <w:sz w:val="21"/>
          <w:szCs w:val="21"/>
        </w:rPr>
      </w:pPr>
      <w:r>
        <w:rPr>
          <w:rFonts w:ascii="Helvetica" w:hAnsi="Helvetica" w:cs="Helvetica"/>
          <w:color w:val="000000"/>
          <w:sz w:val="21"/>
          <w:szCs w:val="21"/>
        </w:rPr>
        <w:t>- Bộ tiêu chí đánh giá hoạt động an toàn trong phòng, chống dịch COVID-19 tại chợ đầu mối trên địa bàn TPHCM.</w:t>
      </w:r>
    </w:p>
    <w:p w:rsidR="005A2BB4" w:rsidRDefault="005A2BB4" w:rsidP="005A2BB4">
      <w:pPr>
        <w:pStyle w:val="NormalWeb"/>
        <w:spacing w:before="0" w:beforeAutospacing="0" w:after="150" w:afterAutospacing="0" w:line="375" w:lineRule="atLeast"/>
        <w:jc w:val="both"/>
        <w:rPr>
          <w:rFonts w:ascii="Helvetica" w:hAnsi="Helvetica" w:cs="Helvetica"/>
          <w:color w:val="000000"/>
          <w:sz w:val="21"/>
          <w:szCs w:val="21"/>
        </w:rPr>
      </w:pPr>
      <w:r>
        <w:rPr>
          <w:rFonts w:ascii="Helvetica" w:hAnsi="Helvetica" w:cs="Helvetica"/>
          <w:color w:val="000000"/>
          <w:sz w:val="21"/>
          <w:szCs w:val="21"/>
        </w:rPr>
        <w:t>- Bộ tiêu chí đánh giá hoạt động an toàn trong phòng, chống dịch COVID-19 tại các doanh nghiệp/cơ sở sản xuất trên địa bàn TPHCM.</w:t>
      </w:r>
    </w:p>
    <w:p w:rsidR="005A2BB4" w:rsidRDefault="005A2BB4" w:rsidP="005A2BB4">
      <w:pPr>
        <w:pStyle w:val="NormalWeb"/>
        <w:spacing w:before="0" w:beforeAutospacing="0" w:after="150" w:afterAutospacing="0" w:line="375" w:lineRule="atLeast"/>
        <w:jc w:val="both"/>
        <w:rPr>
          <w:rFonts w:ascii="Helvetica" w:hAnsi="Helvetica" w:cs="Helvetica"/>
          <w:color w:val="000000"/>
          <w:sz w:val="21"/>
          <w:szCs w:val="21"/>
        </w:rPr>
      </w:pPr>
      <w:r>
        <w:rPr>
          <w:rFonts w:ascii="Helvetica" w:hAnsi="Helvetica" w:cs="Helvetica"/>
          <w:color w:val="000000"/>
          <w:sz w:val="21"/>
          <w:szCs w:val="21"/>
        </w:rPr>
        <w:t>- Bộ tiêu chí đánh giá hoạt động an toàn trong phòng, chống dịch COVID-19 tại Văn phòng làm việc của các đơn vị sản xuất, kinh doanh, cung ứng dịch vụ trên địa bàn TPHCM.</w:t>
      </w:r>
    </w:p>
    <w:p w:rsidR="005A2BB4" w:rsidRDefault="005A2BB4" w:rsidP="005A2BB4">
      <w:pPr>
        <w:pStyle w:val="NormalWeb"/>
        <w:spacing w:before="0" w:beforeAutospacing="0" w:after="150" w:afterAutospacing="0" w:line="375" w:lineRule="atLeast"/>
        <w:jc w:val="both"/>
        <w:rPr>
          <w:rFonts w:ascii="Helvetica" w:hAnsi="Helvetica" w:cs="Helvetica"/>
          <w:color w:val="000000"/>
          <w:sz w:val="21"/>
          <w:szCs w:val="21"/>
        </w:rPr>
      </w:pPr>
      <w:r>
        <w:rPr>
          <w:rFonts w:ascii="Helvetica" w:hAnsi="Helvetica" w:cs="Helvetica"/>
          <w:color w:val="000000"/>
          <w:sz w:val="21"/>
          <w:szCs w:val="21"/>
        </w:rPr>
        <w:t>Theo đó, các doanh nghiệp trên địa bàn TPHCM phải đáp ứng 9 tiêu chí an toàn sau mới được sản xuất:</w:t>
      </w:r>
    </w:p>
    <w:p w:rsidR="005A2BB4" w:rsidRDefault="005A2BB4" w:rsidP="005A2BB4">
      <w:pPr>
        <w:pStyle w:val="NormalWeb"/>
        <w:spacing w:before="0" w:beforeAutospacing="0" w:after="0" w:afterAutospacing="0" w:line="375" w:lineRule="atLeast"/>
        <w:jc w:val="both"/>
        <w:rPr>
          <w:rFonts w:ascii="Helvetica" w:hAnsi="Helvetica" w:cs="Helvetica"/>
          <w:color w:val="000000"/>
          <w:sz w:val="21"/>
          <w:szCs w:val="21"/>
        </w:rPr>
      </w:pPr>
      <w:r>
        <w:rPr>
          <w:rStyle w:val="Strong"/>
          <w:rFonts w:ascii="Helvetica" w:hAnsi="Helvetica" w:cs="Helvetica"/>
          <w:color w:val="000000"/>
          <w:sz w:val="21"/>
          <w:szCs w:val="21"/>
        </w:rPr>
        <w:t>Tiêu chí 1</w:t>
      </w:r>
      <w:r>
        <w:rPr>
          <w:rFonts w:ascii="Helvetica" w:hAnsi="Helvetica" w:cs="Helvetica"/>
          <w:color w:val="000000"/>
          <w:sz w:val="21"/>
          <w:szCs w:val="21"/>
        </w:rPr>
        <w:t>, người lao động tham gia sản xuất phải là người có “thẻ Xanh COVID” và được xét nghiệm âm tính với SARS-CoV-2 (xét nghiệm nhanh hoặc RT-PCR) trước khi vào làm việc.</w:t>
      </w:r>
    </w:p>
    <w:p w:rsidR="005A2BB4" w:rsidRDefault="005A2BB4" w:rsidP="005A2BB4">
      <w:pPr>
        <w:pStyle w:val="NormalWeb"/>
        <w:spacing w:before="0" w:beforeAutospacing="0" w:after="0" w:afterAutospacing="0" w:line="375" w:lineRule="atLeast"/>
        <w:jc w:val="both"/>
        <w:rPr>
          <w:rFonts w:ascii="Helvetica" w:hAnsi="Helvetica" w:cs="Helvetica"/>
          <w:color w:val="000000"/>
          <w:sz w:val="21"/>
          <w:szCs w:val="21"/>
        </w:rPr>
      </w:pPr>
      <w:r>
        <w:rPr>
          <w:rStyle w:val="Strong"/>
          <w:rFonts w:ascii="Helvetica" w:hAnsi="Helvetica" w:cs="Helvetica"/>
          <w:color w:val="000000"/>
          <w:sz w:val="21"/>
          <w:szCs w:val="21"/>
        </w:rPr>
        <w:t>Tiêu chí 2</w:t>
      </w:r>
      <w:r>
        <w:rPr>
          <w:rFonts w:ascii="Helvetica" w:hAnsi="Helvetica" w:cs="Helvetica"/>
          <w:color w:val="000000"/>
          <w:sz w:val="21"/>
          <w:szCs w:val="21"/>
        </w:rPr>
        <w:t>, các đơn vị phải có kế hoạch và tự tổ chức xét nghiệm tầm soát định kỳ cho người lao động bằng xét nghiệm nhanh hoặc xét nghiệm RT-PCR (mẫu đơn hoặc mẫu gộp), báo cáo kết quả xét nghiệm cho cơ quan quản lý nhà nước tại địa phương.</w:t>
      </w:r>
    </w:p>
    <w:p w:rsidR="005A2BB4" w:rsidRDefault="005A2BB4" w:rsidP="005A2BB4">
      <w:pPr>
        <w:pStyle w:val="NormalWeb"/>
        <w:spacing w:before="0" w:beforeAutospacing="0" w:after="150" w:afterAutospacing="0" w:line="375" w:lineRule="atLeast"/>
        <w:jc w:val="both"/>
        <w:rPr>
          <w:rFonts w:ascii="Helvetica" w:hAnsi="Helvetica" w:cs="Helvetica"/>
          <w:color w:val="000000"/>
          <w:sz w:val="21"/>
          <w:szCs w:val="21"/>
        </w:rPr>
      </w:pPr>
      <w:r>
        <w:rPr>
          <w:rFonts w:ascii="Helvetica" w:hAnsi="Helvetica" w:cs="Helvetica"/>
          <w:color w:val="000000"/>
          <w:sz w:val="21"/>
          <w:szCs w:val="21"/>
        </w:rPr>
        <w:t>Tần suất xét nghiệm cho các nhóm đối tượng người lao động theo quy định của ngành y tế là 7 ngày/lần đối với nhóm thông thường và 3 ngày/lần với nhóm nguy cơ cao (thay đổi theo kịch bản phòng, chống dịch do cơ quan y tế yêu cầu).</w:t>
      </w:r>
    </w:p>
    <w:p w:rsidR="005A2BB4" w:rsidRDefault="005A2BB4" w:rsidP="005A2BB4">
      <w:pPr>
        <w:pStyle w:val="NormalWeb"/>
        <w:spacing w:before="0" w:beforeAutospacing="0" w:after="0" w:afterAutospacing="0" w:line="375" w:lineRule="atLeast"/>
        <w:jc w:val="both"/>
        <w:rPr>
          <w:rFonts w:ascii="Helvetica" w:hAnsi="Helvetica" w:cs="Helvetica"/>
          <w:color w:val="000000"/>
          <w:sz w:val="21"/>
          <w:szCs w:val="21"/>
        </w:rPr>
      </w:pPr>
      <w:r>
        <w:rPr>
          <w:rStyle w:val="Strong"/>
          <w:rFonts w:ascii="Helvetica" w:hAnsi="Helvetica" w:cs="Helvetica"/>
          <w:color w:val="000000"/>
          <w:sz w:val="21"/>
          <w:szCs w:val="21"/>
        </w:rPr>
        <w:lastRenderedPageBreak/>
        <w:t>Tiêu chí 3</w:t>
      </w:r>
      <w:r>
        <w:rPr>
          <w:rFonts w:ascii="Helvetica" w:hAnsi="Helvetica" w:cs="Helvetica"/>
          <w:color w:val="000000"/>
          <w:sz w:val="21"/>
          <w:szCs w:val="21"/>
        </w:rPr>
        <w:t>, về quy định khoảng cách an toàn tại nơi làm việc, các đơn vị kiểm soát mật độ người lao động ở các phân xưởng (tính bằng số diện tích làm việc cho 1 người lao động) từ 4m trở lên và khoảng cách giữa 2 người lao động từ 2m trở lên. Trường hợp không đảm bảo thì phải có vách ngăn giữa 2 người lao động hoặc người lao động có sử dụng kính che giọt bắn.</w:t>
      </w:r>
    </w:p>
    <w:p w:rsidR="005A2BB4" w:rsidRDefault="005A2BB4" w:rsidP="005A2BB4">
      <w:pPr>
        <w:pStyle w:val="NormalWeb"/>
        <w:spacing w:before="0" w:beforeAutospacing="0" w:after="0" w:afterAutospacing="0" w:line="375" w:lineRule="atLeast"/>
        <w:jc w:val="both"/>
        <w:rPr>
          <w:rFonts w:ascii="Helvetica" w:hAnsi="Helvetica" w:cs="Helvetica"/>
          <w:color w:val="000000"/>
          <w:sz w:val="21"/>
          <w:szCs w:val="21"/>
        </w:rPr>
      </w:pPr>
      <w:r>
        <w:rPr>
          <w:rStyle w:val="Strong"/>
          <w:rFonts w:ascii="Helvetica" w:hAnsi="Helvetica" w:cs="Helvetica"/>
          <w:color w:val="000000"/>
          <w:sz w:val="21"/>
          <w:szCs w:val="21"/>
        </w:rPr>
        <w:t>Tiêu chí 4</w:t>
      </w:r>
      <w:r>
        <w:rPr>
          <w:rFonts w:ascii="Helvetica" w:hAnsi="Helvetica" w:cs="Helvetica"/>
          <w:color w:val="000000"/>
          <w:sz w:val="21"/>
          <w:szCs w:val="21"/>
        </w:rPr>
        <w:t>, bố trí nhân lực thực hiện do thân nhiệt, giám sát việc đeo khẩu trang, rửa tay sát khuẩn, khai báo y tế điện tử tại cổng ra vào và tại mỗi khu vực sản xuất; đảm bảo khoảng cách tối thiểu 2m và tránh tập trung đông người đối với lao động, khách ra, vào đơn vị.</w:t>
      </w:r>
    </w:p>
    <w:p w:rsidR="005A2BB4" w:rsidRDefault="005A2BB4" w:rsidP="005A2BB4">
      <w:pPr>
        <w:pStyle w:val="NormalWeb"/>
        <w:spacing w:before="0" w:beforeAutospacing="0" w:after="150" w:afterAutospacing="0" w:line="375" w:lineRule="atLeast"/>
        <w:jc w:val="both"/>
        <w:rPr>
          <w:rFonts w:ascii="Helvetica" w:hAnsi="Helvetica" w:cs="Helvetica"/>
          <w:color w:val="000000"/>
          <w:sz w:val="21"/>
          <w:szCs w:val="21"/>
        </w:rPr>
      </w:pPr>
      <w:r>
        <w:rPr>
          <w:rFonts w:ascii="Helvetica" w:hAnsi="Helvetica" w:cs="Helvetica"/>
          <w:color w:val="000000"/>
          <w:sz w:val="21"/>
          <w:szCs w:val="21"/>
        </w:rPr>
        <w:t>Tổ chức kiểm tra, giám sát việc thực hiện phòng, chống dịch COVID-19 tại đơn vị thông qua phương tiện giám sát như lắp đặt camera theo dõi tự động, quét mã nhận diện QR,... hoặc bố trí lực lượng tại chỗ kiểm tra, nhắc nhỏ, hướng dẫn người lao động tuân thủ quy định phòng, chống dịch.</w:t>
      </w:r>
    </w:p>
    <w:p w:rsidR="005A2BB4" w:rsidRDefault="005A2BB4" w:rsidP="005A2BB4">
      <w:pPr>
        <w:pStyle w:val="NormalWeb"/>
        <w:spacing w:before="0" w:beforeAutospacing="0" w:after="0" w:afterAutospacing="0" w:line="375" w:lineRule="atLeast"/>
        <w:jc w:val="both"/>
        <w:rPr>
          <w:rFonts w:ascii="Helvetica" w:hAnsi="Helvetica" w:cs="Helvetica"/>
          <w:color w:val="000000"/>
          <w:sz w:val="21"/>
          <w:szCs w:val="21"/>
        </w:rPr>
      </w:pPr>
      <w:r>
        <w:rPr>
          <w:rStyle w:val="Strong"/>
          <w:rFonts w:ascii="Helvetica" w:hAnsi="Helvetica" w:cs="Helvetica"/>
          <w:color w:val="000000"/>
          <w:sz w:val="21"/>
          <w:szCs w:val="21"/>
        </w:rPr>
        <w:t>Tiêu chí 5</w:t>
      </w:r>
      <w:r>
        <w:rPr>
          <w:rFonts w:ascii="Helvetica" w:hAnsi="Helvetica" w:cs="Helvetica"/>
          <w:color w:val="000000"/>
          <w:sz w:val="21"/>
          <w:szCs w:val="21"/>
        </w:rPr>
        <w:t>, các đơn vị cung cấp đầy đủ khẩu trang y tế cho người lao động mỗi ngày và bố trí dụng dịch sát khuẩn tay tại các vị trí có tiếp xúc chung như cây ATM, bình nước uống công cộng, máy bán hàng tự động, thang máy, … bố trí thùng rác có nắp đậy tại các vị trí thuận tiện.</w:t>
      </w:r>
    </w:p>
    <w:p w:rsidR="005A2BB4" w:rsidRDefault="005A2BB4" w:rsidP="005A2BB4">
      <w:pPr>
        <w:pStyle w:val="NormalWeb"/>
        <w:spacing w:before="0" w:beforeAutospacing="0" w:after="150" w:afterAutospacing="0" w:line="375" w:lineRule="atLeast"/>
        <w:jc w:val="both"/>
        <w:rPr>
          <w:rFonts w:ascii="Helvetica" w:hAnsi="Helvetica" w:cs="Helvetica"/>
          <w:color w:val="000000"/>
          <w:sz w:val="21"/>
          <w:szCs w:val="21"/>
        </w:rPr>
      </w:pPr>
      <w:r>
        <w:rPr>
          <w:rFonts w:ascii="Helvetica" w:hAnsi="Helvetica" w:cs="Helvetica"/>
          <w:color w:val="000000"/>
          <w:sz w:val="21"/>
          <w:szCs w:val="21"/>
        </w:rPr>
        <w:t>Có hợp đồng với đơn vị y tế hoặc bố trí nhân lực y tế chuyên trách tại cơ sở để theo dõi sức khỏe của người lao động theo quy định, hướng dẫn của ngành y tế. Ngoài ra, các cơ sở sản xuất bố trí khu vực phòng cách ly tạm thời tại cơ sở theo quy định, hướng dẫn của ngành y tế; xây dựng quy chế y tế cơ sở và thường xuyên gắn kết với y tế địa phương.</w:t>
      </w:r>
    </w:p>
    <w:p w:rsidR="005A2BB4" w:rsidRDefault="005A2BB4" w:rsidP="005A2BB4">
      <w:pPr>
        <w:pStyle w:val="NormalWeb"/>
        <w:spacing w:before="0" w:beforeAutospacing="0" w:after="0" w:afterAutospacing="0" w:line="375" w:lineRule="atLeast"/>
        <w:jc w:val="both"/>
        <w:rPr>
          <w:rFonts w:ascii="Helvetica" w:hAnsi="Helvetica" w:cs="Helvetica"/>
          <w:color w:val="000000"/>
          <w:sz w:val="21"/>
          <w:szCs w:val="21"/>
        </w:rPr>
      </w:pPr>
      <w:r>
        <w:rPr>
          <w:rStyle w:val="Strong"/>
          <w:rFonts w:ascii="Helvetica" w:hAnsi="Helvetica" w:cs="Helvetica"/>
          <w:color w:val="000000"/>
          <w:sz w:val="21"/>
          <w:szCs w:val="21"/>
        </w:rPr>
        <w:t>Tiêu chí 6</w:t>
      </w:r>
      <w:r>
        <w:rPr>
          <w:rFonts w:ascii="Helvetica" w:hAnsi="Helvetica" w:cs="Helvetica"/>
          <w:color w:val="000000"/>
          <w:sz w:val="21"/>
          <w:szCs w:val="21"/>
        </w:rPr>
        <w:t>, thực hiện vệ sinh, khử khuẩn môi trường tại nơi làm việc/nơi lưu trú tập trung ít nhất 1 lần/ngày, nhà vệ sinh ít nhất 4 lần/ngày; bố trí dung dịch sát khuẩn hoặc xã phòng rửa tay tại nơi làm việc, trước của ra vào, nơi giao nhận hàng hóa, nơi ăn uống, khu vực nhà vệ sinh và nơi lưu trú tapajj trung của người lao động; vệ sinh, khử khuẩn quần áo, kính che giọt bắn, … sau khi kết thúc ca làm việc (nếu có).</w:t>
      </w:r>
    </w:p>
    <w:p w:rsidR="005A2BB4" w:rsidRDefault="005A2BB4" w:rsidP="005A2BB4">
      <w:pPr>
        <w:pStyle w:val="NormalWeb"/>
        <w:spacing w:before="0" w:beforeAutospacing="0" w:after="150" w:afterAutospacing="0" w:line="375" w:lineRule="atLeast"/>
        <w:jc w:val="both"/>
        <w:rPr>
          <w:rFonts w:ascii="Helvetica" w:hAnsi="Helvetica" w:cs="Helvetica"/>
          <w:color w:val="000000"/>
          <w:sz w:val="21"/>
          <w:szCs w:val="21"/>
        </w:rPr>
      </w:pPr>
      <w:r>
        <w:rPr>
          <w:rFonts w:ascii="Helvetica" w:hAnsi="Helvetica" w:cs="Helvetica"/>
          <w:color w:val="000000"/>
          <w:sz w:val="21"/>
          <w:szCs w:val="21"/>
        </w:rPr>
        <w:t>Tạo môi trường thông thoáng tại nơi làm việc; tăng cường thông khí tự nhiên nhà xưởng bằng hệ thống cửa mở/quạt hút gió, hạn chế sử dụng điều hòa nếu có thể.</w:t>
      </w:r>
    </w:p>
    <w:p w:rsidR="005A2BB4" w:rsidRDefault="005A2BB4" w:rsidP="005A2BB4">
      <w:pPr>
        <w:pStyle w:val="NormalWeb"/>
        <w:spacing w:before="0" w:beforeAutospacing="0" w:after="0" w:afterAutospacing="0" w:line="375" w:lineRule="atLeast"/>
        <w:jc w:val="both"/>
        <w:rPr>
          <w:rFonts w:ascii="Helvetica" w:hAnsi="Helvetica" w:cs="Helvetica"/>
          <w:color w:val="000000"/>
          <w:sz w:val="21"/>
          <w:szCs w:val="21"/>
        </w:rPr>
      </w:pPr>
      <w:r>
        <w:rPr>
          <w:rStyle w:val="Strong"/>
          <w:rFonts w:ascii="Helvetica" w:hAnsi="Helvetica" w:cs="Helvetica"/>
          <w:color w:val="000000"/>
          <w:sz w:val="21"/>
          <w:szCs w:val="21"/>
        </w:rPr>
        <w:t>Tiêu chí 7</w:t>
      </w:r>
      <w:r>
        <w:rPr>
          <w:rFonts w:ascii="Helvetica" w:hAnsi="Helvetica" w:cs="Helvetica"/>
          <w:color w:val="000000"/>
          <w:sz w:val="21"/>
          <w:szCs w:val="21"/>
        </w:rPr>
        <w:t>, về tổ chức bữa ăn ca cho người lao động, người cung cấp dịch vụ ăn uống phải được kiểm tra, giám sát sức khỏe, đảm bảo các điều kiện vệ sinh, đeo khẩu trang và găng tay khi phục vụ.</w:t>
      </w:r>
    </w:p>
    <w:p w:rsidR="005A2BB4" w:rsidRDefault="005A2BB4" w:rsidP="005A2BB4">
      <w:pPr>
        <w:pStyle w:val="NormalWeb"/>
        <w:spacing w:before="0" w:beforeAutospacing="0" w:after="150" w:afterAutospacing="0" w:line="375" w:lineRule="atLeast"/>
        <w:jc w:val="both"/>
        <w:rPr>
          <w:rFonts w:ascii="Helvetica" w:hAnsi="Helvetica" w:cs="Helvetica"/>
          <w:color w:val="000000"/>
          <w:sz w:val="21"/>
          <w:szCs w:val="21"/>
        </w:rPr>
      </w:pPr>
      <w:r>
        <w:rPr>
          <w:rFonts w:ascii="Helvetica" w:hAnsi="Helvetica" w:cs="Helvetica"/>
          <w:color w:val="000000"/>
          <w:sz w:val="21"/>
          <w:szCs w:val="21"/>
        </w:rPr>
        <w:t>Thực hiện giãn cách tại khu vực nhà ăn như: sắp xếp giờ nghỉ giải lao ăn trưa lệch giờ; cung cấp suất ăn cá nhân; tránh tập trung đông người ở căng tin, nhà ăn trong một khung giờ; đảm bảo khoảng cách 2 m giữa 2 người lao động khi ăn hoặc lắp vách ngăn giữa các vị trí ngồi ăn; bố trí bồn rửa tay, nước sát khuẩn tại khu vực nhà ăn; thực hiện vệ sinh, khử khuẩn khu vực ăn trước và sau khi phục vụ bữa ăn.</w:t>
      </w:r>
    </w:p>
    <w:p w:rsidR="005A2BB4" w:rsidRDefault="005A2BB4" w:rsidP="005A2BB4">
      <w:pPr>
        <w:pStyle w:val="NormalWeb"/>
        <w:spacing w:before="0" w:beforeAutospacing="0" w:after="0" w:afterAutospacing="0" w:line="375" w:lineRule="atLeast"/>
        <w:jc w:val="both"/>
        <w:rPr>
          <w:rFonts w:ascii="Helvetica" w:hAnsi="Helvetica" w:cs="Helvetica"/>
          <w:color w:val="000000"/>
          <w:sz w:val="21"/>
          <w:szCs w:val="21"/>
        </w:rPr>
      </w:pPr>
      <w:r>
        <w:rPr>
          <w:rStyle w:val="Strong"/>
          <w:rFonts w:ascii="Helvetica" w:hAnsi="Helvetica" w:cs="Helvetica"/>
          <w:color w:val="000000"/>
          <w:sz w:val="21"/>
          <w:szCs w:val="21"/>
        </w:rPr>
        <w:lastRenderedPageBreak/>
        <w:t>Tiêu chí 8</w:t>
      </w:r>
      <w:r>
        <w:rPr>
          <w:rFonts w:ascii="Helvetica" w:hAnsi="Helvetica" w:cs="Helvetica"/>
          <w:color w:val="000000"/>
          <w:sz w:val="21"/>
          <w:szCs w:val="21"/>
        </w:rPr>
        <w:t>, kiểm soát lưu thông và lưu trú của người lao động</w:t>
      </w:r>
    </w:p>
    <w:p w:rsidR="005A2BB4" w:rsidRDefault="005A2BB4" w:rsidP="005A2BB4">
      <w:pPr>
        <w:pStyle w:val="NormalWeb"/>
        <w:spacing w:before="0" w:beforeAutospacing="0" w:after="150" w:afterAutospacing="0" w:line="375" w:lineRule="atLeast"/>
        <w:jc w:val="both"/>
        <w:rPr>
          <w:rFonts w:ascii="Helvetica" w:hAnsi="Helvetica" w:cs="Helvetica"/>
          <w:color w:val="000000"/>
          <w:sz w:val="21"/>
          <w:szCs w:val="21"/>
        </w:rPr>
      </w:pPr>
      <w:r>
        <w:rPr>
          <w:rFonts w:ascii="Helvetica" w:hAnsi="Helvetica" w:cs="Helvetica"/>
          <w:color w:val="000000"/>
          <w:sz w:val="21"/>
          <w:szCs w:val="21"/>
        </w:rPr>
        <w:t>Về kiểm soát lưu thông của người lao động: đối với người di chuyển bằng xe cá nhân phải có bản cam kết của người lao động di chuyển tuân theo lộ trình đã đăng ký từ nơi ở đến nơi làm việc (cung đường xanh); đối với người lao động di chuyển bằng xe đưa đón của cơ sở thì phương tiện phải đảm bảo quy định về phòng, chống dịch, tài xế được xét nghiệm âm tính với COVID-19 trong vòng 72 giờ; người lao động tuân thủ 5K.</w:t>
      </w:r>
    </w:p>
    <w:p w:rsidR="005A2BB4" w:rsidRDefault="005A2BB4" w:rsidP="005A2BB4">
      <w:pPr>
        <w:pStyle w:val="NormalWeb"/>
        <w:spacing w:before="0" w:beforeAutospacing="0" w:after="150" w:afterAutospacing="0" w:line="375" w:lineRule="atLeast"/>
        <w:jc w:val="both"/>
        <w:rPr>
          <w:rFonts w:ascii="Helvetica" w:hAnsi="Helvetica" w:cs="Helvetica"/>
          <w:color w:val="000000"/>
          <w:sz w:val="21"/>
          <w:szCs w:val="21"/>
        </w:rPr>
      </w:pPr>
      <w:r>
        <w:rPr>
          <w:rFonts w:ascii="Helvetica" w:hAnsi="Helvetica" w:cs="Helvetica"/>
          <w:color w:val="000000"/>
          <w:sz w:val="21"/>
          <w:szCs w:val="21"/>
        </w:rPr>
        <w:t>Về kiểm soát lưu trú của người lao động như khu nhà trọ tập trung, ký túc xá, khách sạn và nơi lưu trú riêng (nhà riêng) phải đáp ứng theo nhà các quy định, hướng dẫn của ngành y tế; có thống kê, cập nhật danh sách nơi ở thuộc vùng xanh của từng người lao động. Có danh sách người lao động làm việc ở bộ phận có tiếp xúc trực tiếp với người bên ngoài doanh nghiệp (tài xế, nhân viên kinh doanh, quản lý, bảo vệ,…), người có nguy cơ cao; có giải pháp ứng dụng công nghệ thông tin, xây dựng hệ thống phần mềm quản lý người lao động trong việc lưu thông và lưu trú (nếu có).</w:t>
      </w:r>
    </w:p>
    <w:p w:rsidR="005A2BB4" w:rsidRDefault="005A2BB4" w:rsidP="005A2BB4">
      <w:pPr>
        <w:pStyle w:val="NormalWeb"/>
        <w:spacing w:before="0" w:beforeAutospacing="0" w:after="150" w:afterAutospacing="0" w:line="375" w:lineRule="atLeast"/>
        <w:jc w:val="both"/>
        <w:rPr>
          <w:rFonts w:ascii="Helvetica" w:hAnsi="Helvetica" w:cs="Helvetica"/>
          <w:color w:val="000000"/>
          <w:sz w:val="21"/>
          <w:szCs w:val="21"/>
        </w:rPr>
      </w:pPr>
      <w:r>
        <w:rPr>
          <w:rFonts w:ascii="Helvetica" w:hAnsi="Helvetica" w:cs="Helvetica"/>
          <w:color w:val="000000"/>
          <w:sz w:val="21"/>
          <w:szCs w:val="21"/>
        </w:rPr>
        <w:t>Ngoài ra, căn cứ vào quy mô, điều kiện hoạt động, đơn vị lựa chọn áp dụng một trong những phương thức: “3 tại chỗ” hoặc “3 tại chỗ theo kíp”; “1 cung đường - 2 điểm đến” hoặc “1 cung đường - 2 điểm đến mở rộng";  “4 xanh” (người lao động xanh, cung đường xanh, vùng sản xuất xanh, nơi ở xanh); kết hợp 3 phương thức nêu trên; hoặc xây dựng phương án tổ chức sản xuất phù hợp với điều kiện thực tế của đơn vị đảm bảo an toàn phòng, chống dịch COVID-19 theo bộ tiêu chí này.</w:t>
      </w:r>
    </w:p>
    <w:p w:rsidR="005A2BB4" w:rsidRDefault="005A2BB4" w:rsidP="005A2BB4">
      <w:pPr>
        <w:pStyle w:val="NormalWeb"/>
        <w:spacing w:before="0" w:beforeAutospacing="0" w:after="150" w:afterAutospacing="0" w:line="375" w:lineRule="atLeast"/>
        <w:jc w:val="both"/>
        <w:rPr>
          <w:rFonts w:ascii="Helvetica" w:hAnsi="Helvetica" w:cs="Helvetica"/>
          <w:color w:val="000000"/>
          <w:sz w:val="21"/>
          <w:szCs w:val="21"/>
        </w:rPr>
      </w:pPr>
      <w:r>
        <w:rPr>
          <w:rFonts w:ascii="Helvetica" w:hAnsi="Helvetica" w:cs="Helvetica"/>
          <w:color w:val="000000"/>
          <w:sz w:val="21"/>
          <w:szCs w:val="21"/>
        </w:rPr>
        <w:t>TPHCM cũng yêu cầu các cơ sở sản xuất phải xây dựng phương án phòng, chống dịch tại đơn vị, trong đó: thành lập Ban chỉ đạo phòng, chống dịch COVID-19, các Tổ an toàn COVID-19; có phương án xử lý khi phát hiện ca nghi và nhiễm COVID-19 theo hướng dẫn của ngành y tế; tổ chức thực hiện các cam kết về phòng, chống dịch tại nơi làm việc theo quy định, hướng dẫn của ngành y tế.</w:t>
      </w:r>
    </w:p>
    <w:p w:rsidR="005A2BB4" w:rsidRDefault="005A2BB4" w:rsidP="005A2BB4">
      <w:pPr>
        <w:pStyle w:val="NormalWeb"/>
        <w:spacing w:before="0" w:beforeAutospacing="0" w:after="0" w:afterAutospacing="0" w:line="375" w:lineRule="atLeast"/>
        <w:jc w:val="both"/>
        <w:rPr>
          <w:rFonts w:ascii="Helvetica" w:hAnsi="Helvetica" w:cs="Helvetica"/>
          <w:color w:val="000000"/>
          <w:sz w:val="21"/>
          <w:szCs w:val="21"/>
        </w:rPr>
      </w:pPr>
      <w:r>
        <w:rPr>
          <w:rStyle w:val="Strong"/>
          <w:rFonts w:ascii="Helvetica" w:hAnsi="Helvetica" w:cs="Helvetica"/>
          <w:color w:val="000000"/>
          <w:sz w:val="21"/>
          <w:szCs w:val="21"/>
        </w:rPr>
        <w:t>Tiêu chí 9</w:t>
      </w:r>
      <w:r>
        <w:rPr>
          <w:rFonts w:ascii="Helvetica" w:hAnsi="Helvetica" w:cs="Helvetica"/>
          <w:color w:val="000000"/>
          <w:sz w:val="21"/>
          <w:szCs w:val="21"/>
        </w:rPr>
        <w:t>, tuyên truyền, phổ biến, tập huấn cho người lao động về các quy định phòng, chống dịch COVID-19; treo, dán các áp phích, phân phát các tờ rơi về phòng, chống dịch COVID-19 tại nơi làm việc, nhà ăn, khu vực nhà vệ sinh và trên phương tiện đưa đón người lao động.</w:t>
      </w:r>
    </w:p>
    <w:p w:rsidR="005A2BB4" w:rsidRDefault="005A2BB4" w:rsidP="005A2BB4">
      <w:pPr>
        <w:pStyle w:val="NormalWeb"/>
        <w:spacing w:before="0" w:beforeAutospacing="0" w:after="150" w:afterAutospacing="0" w:line="375" w:lineRule="atLeast"/>
        <w:jc w:val="both"/>
        <w:rPr>
          <w:rFonts w:ascii="Helvetica" w:hAnsi="Helvetica" w:cs="Helvetica"/>
          <w:color w:val="000000"/>
          <w:sz w:val="21"/>
          <w:szCs w:val="21"/>
        </w:rPr>
      </w:pPr>
      <w:r>
        <w:rPr>
          <w:rFonts w:ascii="Helvetica" w:hAnsi="Helvetica" w:cs="Helvetica"/>
          <w:color w:val="000000"/>
          <w:sz w:val="21"/>
          <w:szCs w:val="21"/>
        </w:rPr>
        <w:t>Dựa vào các tiêu chí này, các doanh nghiệp trên địa bàn thành phố phải hoàn thiện, củng cố các biện pháp phòng, chống dịch cũng như nâng cao ý thức, trách nhiệm người đứng đầu và cán bộ, công nhân, người lao động trong việc chung tay phòng, chống dịch COVID-19.</w:t>
      </w:r>
    </w:p>
    <w:p w:rsidR="005662B6" w:rsidRDefault="005662B6">
      <w:bookmarkStart w:id="0" w:name="_GoBack"/>
      <w:bookmarkEnd w:id="0"/>
    </w:p>
    <w:sectPr w:rsidR="00566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BB4"/>
    <w:rsid w:val="005662B6"/>
    <w:rsid w:val="005A2BB4"/>
    <w:rsid w:val="00652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2B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2B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2B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2B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53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2021-10-12T07:47:00Z</dcterms:created>
  <dcterms:modified xsi:type="dcterms:W3CDTF">2021-10-12T07:47:00Z</dcterms:modified>
</cp:coreProperties>
</file>